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Уголовная ответственность за коррупционные правонарушения</w:t>
      </w:r>
      <w:r>
        <w:rPr>
          <w:rFonts w:ascii="Times New Roman" w:hAnsi="Times New Roman"/>
          <w:color w:val="000000"/>
          <w:sz w:val="24"/>
        </w:rPr>
        <w:br/>
      </w:r>
    </w:p>
    <w:p w14:paraId="02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Наибольшую опасность для общества представляют коррупционные преступления, за которые установлена уголовная ответственность.</w:t>
      </w:r>
    </w:p>
    <w:p w14:paraId="03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целях обеспечения единообразного применения судами законодательства было принято </w:t>
      </w:r>
      <w:r>
        <w:rPr>
          <w:rFonts w:ascii="Times New Roman" w:hAnsi="Times New Roman"/>
          <w:color w:val="000000"/>
          <w:sz w:val="24"/>
          <w:u w:color="000000"/>
        </w:rPr>
        <w:t>Постановление</w:t>
      </w:r>
      <w:r>
        <w:rPr>
          <w:rFonts w:ascii="Times New Roman" w:hAnsi="Times New Roman"/>
          <w:color w:val="000000"/>
          <w:sz w:val="24"/>
        </w:rPr>
        <w:t xml:space="preserve"> Пленума Верховного Суда РФ от 09.07.2013 N 24 "О судебной практике по делам о взяточничестве и об иных коррупционных преступлениях", в </w:t>
      </w:r>
      <w:r>
        <w:rPr>
          <w:rFonts w:ascii="Times New Roman" w:hAnsi="Times New Roman"/>
          <w:color w:val="000000"/>
          <w:sz w:val="24"/>
          <w:u w:color="000000"/>
        </w:rPr>
        <w:t>абз</w:t>
      </w:r>
      <w:r>
        <w:rPr>
          <w:rFonts w:ascii="Times New Roman" w:hAnsi="Times New Roman"/>
          <w:color w:val="000000"/>
          <w:sz w:val="24"/>
          <w:u w:color="000000"/>
        </w:rPr>
        <w:t>. 4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  <w:u w:color="000000"/>
        </w:rPr>
        <w:t>6 преамбулы</w:t>
      </w:r>
      <w:r>
        <w:rPr>
          <w:rFonts w:ascii="Times New Roman" w:hAnsi="Times New Roman"/>
          <w:color w:val="000000"/>
          <w:sz w:val="24"/>
        </w:rPr>
        <w:t xml:space="preserve"> которого отмечено, что взяточничество посягает на основы государственной власти, нарушает нормальную управленческую деятельность государственных и муниципальных органов и учреждений, подрывает их авторитет, деформирует правосознание граждан, создавая у них представление о возможности удовлетворения личных и коллективных интересов путем подкупа должностных лиц, препятствует конкуренции, затрудняет экономическое развитие.</w:t>
      </w:r>
    </w:p>
    <w:p w14:paraId="04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 взяточничеству Верховный Суд РФ относит:</w:t>
      </w:r>
    </w:p>
    <w:p w14:paraId="05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получение взятки (</w:t>
      </w:r>
      <w:r>
        <w:rPr>
          <w:rFonts w:ascii="Times New Roman" w:hAnsi="Times New Roman"/>
          <w:color w:val="000000"/>
          <w:sz w:val="24"/>
          <w:u w:color="000000"/>
        </w:rPr>
        <w:t>ст. 290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06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дачу взятки (</w:t>
      </w:r>
      <w:r>
        <w:rPr>
          <w:rFonts w:ascii="Times New Roman" w:hAnsi="Times New Roman"/>
          <w:color w:val="000000"/>
          <w:sz w:val="24"/>
          <w:u w:color="000000"/>
        </w:rPr>
        <w:t>ст. 291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07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посредничество во взяточничестве (</w:t>
      </w:r>
      <w:r>
        <w:rPr>
          <w:rFonts w:ascii="Times New Roman" w:hAnsi="Times New Roman"/>
          <w:color w:val="000000"/>
          <w:sz w:val="24"/>
          <w:u w:color="000000"/>
        </w:rPr>
        <w:t>ст. 291.1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08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мелкое взяточничество (</w:t>
      </w:r>
      <w:r>
        <w:rPr>
          <w:rFonts w:ascii="Times New Roman" w:hAnsi="Times New Roman"/>
          <w:color w:val="000000"/>
          <w:sz w:val="24"/>
          <w:u w:color="000000"/>
        </w:rPr>
        <w:t>ст. 291.2</w:t>
      </w:r>
      <w:r>
        <w:rPr>
          <w:rFonts w:ascii="Times New Roman" w:hAnsi="Times New Roman"/>
          <w:color w:val="000000"/>
          <w:sz w:val="24"/>
        </w:rPr>
        <w:t xml:space="preserve"> УК РФ).</w:t>
      </w:r>
    </w:p>
    <w:p w14:paraId="09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эти преступления предусмотрена уголовная ответственность в виде штрафа, исправительных работ, с лишением права занимать определенные должности или заниматься определенной деятельностью либо без такового, принудительных работ со штрафом или без такового, ограничения свободы, лишения свободы. Вид и размер наказания зависят от тяжести совершенного деяния.</w:t>
      </w:r>
    </w:p>
    <w:p w14:paraId="0A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 иным коррупционным преступлениям Верховный Суд РФ относит:</w:t>
      </w:r>
    </w:p>
    <w:p w14:paraId="0B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мошенничество (</w:t>
      </w:r>
      <w:r>
        <w:rPr>
          <w:rFonts w:ascii="Times New Roman" w:hAnsi="Times New Roman"/>
          <w:color w:val="000000"/>
          <w:sz w:val="24"/>
          <w:u w:color="000000"/>
        </w:rPr>
        <w:t>ст. 159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0C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присвоение или растрату (</w:t>
      </w:r>
      <w:r>
        <w:rPr>
          <w:rFonts w:ascii="Times New Roman" w:hAnsi="Times New Roman"/>
          <w:color w:val="000000"/>
          <w:sz w:val="24"/>
          <w:u w:color="000000"/>
        </w:rPr>
        <w:t>ст. 160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0D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оказание противоправного влияния на результат официального спортивного соревнования или зрелищного коммерческого конкурса (</w:t>
      </w:r>
      <w:r>
        <w:rPr>
          <w:rFonts w:ascii="Times New Roman" w:hAnsi="Times New Roman"/>
          <w:color w:val="000000"/>
          <w:sz w:val="24"/>
          <w:u w:color="000000"/>
        </w:rPr>
        <w:t>ст. 184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0E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подкуп работника контрактной службы, контрактного управляющего, члена комиссии по осуществлению закупок (</w:t>
      </w:r>
      <w:r>
        <w:rPr>
          <w:rFonts w:ascii="Times New Roman" w:hAnsi="Times New Roman"/>
          <w:color w:val="000000"/>
          <w:sz w:val="24"/>
          <w:u w:color="000000"/>
        </w:rPr>
        <w:t>ст. 200.5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0F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коммерческий подкуп (</w:t>
      </w:r>
      <w:r>
        <w:rPr>
          <w:rFonts w:ascii="Times New Roman" w:hAnsi="Times New Roman"/>
          <w:color w:val="000000"/>
          <w:sz w:val="24"/>
          <w:u w:color="000000"/>
        </w:rPr>
        <w:t>ст. 204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10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посредничество в коммерческом подкупе (</w:t>
      </w:r>
      <w:r>
        <w:rPr>
          <w:rFonts w:ascii="Times New Roman" w:hAnsi="Times New Roman"/>
          <w:color w:val="000000"/>
          <w:sz w:val="24"/>
          <w:u w:color="000000"/>
        </w:rPr>
        <w:t>ст. 204.1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11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мелкий коммерческий подкуп (</w:t>
      </w:r>
      <w:r>
        <w:rPr>
          <w:rFonts w:ascii="Times New Roman" w:hAnsi="Times New Roman"/>
          <w:color w:val="000000"/>
          <w:sz w:val="24"/>
          <w:u w:color="000000"/>
        </w:rPr>
        <w:t>ст. 204.2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12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служебный подлог (</w:t>
      </w:r>
      <w:r>
        <w:rPr>
          <w:rFonts w:ascii="Times New Roman" w:hAnsi="Times New Roman"/>
          <w:color w:val="000000"/>
          <w:sz w:val="24"/>
          <w:u w:color="000000"/>
        </w:rPr>
        <w:t>ст. 292</w:t>
      </w:r>
      <w:r>
        <w:rPr>
          <w:rFonts w:ascii="Times New Roman" w:hAnsi="Times New Roman"/>
          <w:color w:val="000000"/>
          <w:sz w:val="24"/>
        </w:rPr>
        <w:t xml:space="preserve"> УК РФ);</w:t>
      </w:r>
    </w:p>
    <w:p w14:paraId="13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провокацию взятки, коммерческого подкупа либо подкупа в сфере закупок товаров, работ, услуг для обеспечения государственных или муниципальных нужд (</w:t>
      </w:r>
      <w:r>
        <w:rPr>
          <w:rFonts w:ascii="Times New Roman" w:hAnsi="Times New Roman"/>
          <w:color w:val="000000"/>
          <w:sz w:val="24"/>
          <w:u w:color="000000"/>
        </w:rPr>
        <w:t>ст. 304</w:t>
      </w:r>
      <w:r>
        <w:rPr>
          <w:rFonts w:ascii="Times New Roman" w:hAnsi="Times New Roman"/>
          <w:color w:val="000000"/>
          <w:sz w:val="24"/>
        </w:rPr>
        <w:t xml:space="preserve"> УК РФ).</w:t>
      </w:r>
    </w:p>
    <w:p w14:paraId="14000000">
      <w:pPr>
        <w:widowControl w:val="1"/>
        <w:spacing w:after="0" w:line="216" w:lineRule="auto"/>
        <w:ind w:firstLine="62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эти преступления предусмотрена уголовная ответственность в виде штрафа, обязательных работ, исправительных работ, с лишением права занимать определенные должности или заниматься определенной деятельностью либо без такового, принудительных работ со штрафом или без такового, ограничения свободы, ареста, лишения свободы. Вид и размер наказания зависят от тяжести совершенного деяния.</w:t>
      </w:r>
    </w:p>
    <w:p w14:paraId="1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2026-01-28T03:39:00Z</dcterms:created>
  <dcterms:modified xsi:type="dcterms:W3CDTF">2026-05-27T14:53:03Z</dcterms:modified>
</cp:coreProperties>
</file>