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2" w:rsidRPr="00AB5A11" w:rsidRDefault="007509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AB5A11">
        <w:rPr>
          <w:rFonts w:ascii="Times New Roman" w:hAnsi="Times New Roman" w:cs="Times New Roman"/>
          <w:sz w:val="24"/>
          <w:szCs w:val="24"/>
        </w:rPr>
        <w:t>МАУ  «Сеченовский районный информационный центр»</w:t>
      </w: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  <w:r w:rsidRPr="00750989">
        <w:rPr>
          <w:rFonts w:ascii="Times New Roman" w:hAnsi="Times New Roman" w:cs="Times New Roman"/>
        </w:rPr>
        <w:t xml:space="preserve">                                              </w:t>
      </w:r>
      <w:r w:rsidR="00AB5A11">
        <w:rPr>
          <w:rFonts w:ascii="Times New Roman" w:hAnsi="Times New Roman" w:cs="Times New Roman"/>
        </w:rPr>
        <w:t xml:space="preserve">                 </w:t>
      </w:r>
      <w:r w:rsidRPr="00750989">
        <w:rPr>
          <w:rFonts w:ascii="Times New Roman" w:hAnsi="Times New Roman" w:cs="Times New Roman"/>
        </w:rPr>
        <w:t>Приказ №</w:t>
      </w:r>
      <w:r w:rsidR="000928BA">
        <w:rPr>
          <w:rFonts w:ascii="Times New Roman" w:hAnsi="Times New Roman" w:cs="Times New Roman"/>
        </w:rPr>
        <w:t xml:space="preserve"> </w:t>
      </w:r>
    </w:p>
    <w:p w:rsidR="00750989" w:rsidRDefault="00AB5A11">
      <w:r>
        <w:t xml:space="preserve">                 </w:t>
      </w:r>
      <w:r w:rsidR="00750989">
        <w:t xml:space="preserve">об утверждении </w:t>
      </w:r>
      <w:r w:rsidR="0057014A">
        <w:t>изменений</w:t>
      </w:r>
      <w:r w:rsidR="004632D4">
        <w:t xml:space="preserve"> </w:t>
      </w:r>
      <w:r w:rsidR="00750989">
        <w:t>в учетную политику по бухгалтерскому учету</w:t>
      </w:r>
    </w:p>
    <w:p w:rsidR="00750989" w:rsidRDefault="00750989">
      <w:r>
        <w:t xml:space="preserve">с.Сеченово                                                                                          </w:t>
      </w:r>
      <w:r w:rsidR="00AB5A11">
        <w:t xml:space="preserve">                                     </w:t>
      </w:r>
      <w:r w:rsidR="0057014A">
        <w:t>_____________</w:t>
      </w:r>
    </w:p>
    <w:p w:rsidR="00750989" w:rsidRDefault="00750989"/>
    <w:p w:rsidR="004632D4" w:rsidRPr="0083582E" w:rsidRDefault="00750989" w:rsidP="004632D4">
      <w:pPr>
        <w:rPr>
          <w:b/>
        </w:rPr>
      </w:pPr>
      <w:r w:rsidRPr="0083582E">
        <w:rPr>
          <w:b/>
        </w:rPr>
        <w:t xml:space="preserve">   </w:t>
      </w:r>
      <w:r w:rsidR="0057014A">
        <w:rPr>
          <w:b/>
        </w:rPr>
        <w:t>Приказываю в</w:t>
      </w:r>
      <w:r w:rsidR="004632D4" w:rsidRPr="0083582E">
        <w:rPr>
          <w:b/>
        </w:rPr>
        <w:t>нести  в</w:t>
      </w:r>
      <w:r w:rsidR="0057014A">
        <w:rPr>
          <w:b/>
        </w:rPr>
        <w:t xml:space="preserve"> приказ МАУ «Сеченовский РИЦ»</w:t>
      </w:r>
      <w:r w:rsidR="005A3422">
        <w:rPr>
          <w:b/>
        </w:rPr>
        <w:t xml:space="preserve"> </w:t>
      </w:r>
      <w:r w:rsidR="0057014A">
        <w:rPr>
          <w:b/>
        </w:rPr>
        <w:t xml:space="preserve"> от 26.12.2014г.</w:t>
      </w:r>
      <w:r w:rsidR="005A3422">
        <w:rPr>
          <w:b/>
        </w:rPr>
        <w:t xml:space="preserve"> </w:t>
      </w:r>
      <w:r w:rsidR="0057014A">
        <w:rPr>
          <w:b/>
        </w:rPr>
        <w:t xml:space="preserve">№34 «Об утверждении  учетной  политике» следующие изменения :  </w:t>
      </w:r>
    </w:p>
    <w:p w:rsidR="000928BA" w:rsidRDefault="0057014A" w:rsidP="004632D4">
      <w:pPr>
        <w:rPr>
          <w:b/>
        </w:rPr>
      </w:pPr>
      <w:r>
        <w:rPr>
          <w:b/>
        </w:rPr>
        <w:t>1.Дополнить у</w:t>
      </w:r>
      <w:r w:rsidR="00645929">
        <w:rPr>
          <w:b/>
        </w:rPr>
        <w:t>четную политику</w:t>
      </w:r>
      <w:r w:rsidR="005A3422">
        <w:rPr>
          <w:b/>
        </w:rPr>
        <w:t xml:space="preserve"> для целей бухгалтерского учета</w:t>
      </w:r>
      <w:r w:rsidR="00645929">
        <w:rPr>
          <w:b/>
        </w:rPr>
        <w:t xml:space="preserve"> </w:t>
      </w:r>
      <w:r w:rsidR="005A3422">
        <w:rPr>
          <w:b/>
        </w:rPr>
        <w:t xml:space="preserve"> </w:t>
      </w:r>
    </w:p>
    <w:p w:rsidR="005A3422" w:rsidRPr="005A3422" w:rsidRDefault="005A3422" w:rsidP="004632D4">
      <w:r w:rsidRPr="005A3422">
        <w:t>Учетная политика разработана в соответствии с</w:t>
      </w:r>
    </w:p>
    <w:p w:rsidR="000928BA" w:rsidRPr="00075914" w:rsidRDefault="000928BA" w:rsidP="000928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 xml:space="preserve">приказом Минфина от 23.12.2010 № 183н </w:t>
      </w:r>
      <w:r w:rsidRPr="00075914">
        <w:rPr>
          <w:rFonts w:ascii="Times New Roman" w:hAnsi="Times New Roman" w:cs="Times New Roman"/>
          <w:i/>
          <w:iCs/>
        </w:rPr>
        <w:t>«Об утверждении Плана счетов бухгалтерского учета автономных учреждений и Инструкции по его применению»</w:t>
      </w:r>
      <w:r w:rsidRPr="00075914">
        <w:rPr>
          <w:rFonts w:ascii="Times New Roman" w:hAnsi="Times New Roman" w:cs="Times New Roman"/>
        </w:rPr>
        <w:t xml:space="preserve"> (далее – Инструкция № 183н);</w:t>
      </w:r>
    </w:p>
    <w:p w:rsidR="000928BA" w:rsidRPr="00075914" w:rsidRDefault="000928BA" w:rsidP="000928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  <w:shd w:val="clear" w:color="auto" w:fill="FFFFFF"/>
        </w:rPr>
        <w:t>приказом Минфина от 08.06.2018 № 132н «</w:t>
      </w:r>
      <w:r w:rsidRPr="00075914">
        <w:rPr>
          <w:rFonts w:ascii="Times New Roman" w:hAnsi="Times New Roman" w:cs="Times New Roman"/>
          <w:i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075914">
        <w:rPr>
          <w:rFonts w:ascii="Times New Roman" w:hAnsi="Times New Roman" w:cs="Times New Roman"/>
          <w:shd w:val="clear" w:color="auto" w:fill="FFFFFF"/>
        </w:rPr>
        <w:t>(далее – приказ № 132н);</w:t>
      </w:r>
    </w:p>
    <w:p w:rsidR="000928BA" w:rsidRPr="00075914" w:rsidRDefault="000928BA" w:rsidP="000928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  <w:shd w:val="clear" w:color="auto" w:fill="FFFFFF"/>
        </w:rPr>
        <w:t xml:space="preserve">приказом Минфина от 29.11.2017 № 209н </w:t>
      </w:r>
      <w:r w:rsidRPr="00075914">
        <w:rPr>
          <w:rFonts w:ascii="Times New Roman" w:hAnsi="Times New Roman" w:cs="Times New Roman"/>
          <w:i/>
          <w:shd w:val="clear" w:color="auto" w:fill="FFFFFF"/>
        </w:rPr>
        <w:t xml:space="preserve">«Об утверждении </w:t>
      </w:r>
      <w:proofErr w:type="gramStart"/>
      <w:r w:rsidRPr="00075914">
        <w:rPr>
          <w:rFonts w:ascii="Times New Roman" w:hAnsi="Times New Roman" w:cs="Times New Roman"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075914">
        <w:rPr>
          <w:rFonts w:ascii="Times New Roman" w:hAnsi="Times New Roman" w:cs="Times New Roman"/>
          <w:i/>
          <w:shd w:val="clear" w:color="auto" w:fill="FFFFFF"/>
        </w:rPr>
        <w:t xml:space="preserve"> управления» </w:t>
      </w:r>
      <w:r w:rsidRPr="00075914">
        <w:rPr>
          <w:rFonts w:ascii="Times New Roman" w:hAnsi="Times New Roman" w:cs="Times New Roman"/>
          <w:shd w:val="clear" w:color="auto" w:fill="FFFFFF"/>
        </w:rPr>
        <w:t>(далее – приказ № 209н);</w:t>
      </w:r>
    </w:p>
    <w:p w:rsidR="000928BA" w:rsidRPr="00075914" w:rsidRDefault="000928BA" w:rsidP="000928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 xml:space="preserve">приказом Минфина от 30.03.2015 № 52н </w:t>
      </w:r>
      <w:r w:rsidRPr="00075914">
        <w:rPr>
          <w:rFonts w:ascii="Times New Roman" w:hAnsi="Times New Roman" w:cs="Times New Roman"/>
          <w:i/>
          <w:iCs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075914">
        <w:rPr>
          <w:rFonts w:ascii="Times New Roman" w:hAnsi="Times New Roman" w:cs="Times New Roman"/>
        </w:rPr>
        <w:t xml:space="preserve"> (далее – приказ № 52н);</w:t>
      </w:r>
    </w:p>
    <w:p w:rsidR="000928BA" w:rsidRPr="00075914" w:rsidRDefault="000928BA" w:rsidP="000928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075914">
        <w:rPr>
          <w:rFonts w:ascii="Times New Roman" w:hAnsi="Times New Roman" w:cs="Times New Roman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075914">
        <w:rPr>
          <w:rFonts w:ascii="Times New Roman" w:hAnsi="Times New Roman" w:cs="Times New Roman"/>
          <w:shd w:val="clear" w:color="auto" w:fill="FFFFFF"/>
        </w:rPr>
        <w:t xml:space="preserve">от 30.12.2017 </w:t>
      </w:r>
      <w:r w:rsidRPr="00075914">
        <w:rPr>
          <w:rFonts w:ascii="Times New Roman" w:hAnsi="Times New Roman" w:cs="Times New Roman"/>
        </w:rPr>
        <w:t>№ 274н, № 275н, № 278н (далее – соответственно СГС «Учетная политика, оценочные значения и ошибки», СГС «</w:t>
      </w:r>
      <w:r w:rsidRPr="00075914">
        <w:rPr>
          <w:rFonts w:ascii="Times New Roman" w:hAnsi="Times New Roman" w:cs="Times New Roman"/>
          <w:shd w:val="clear" w:color="auto" w:fill="FFFFFF"/>
        </w:rPr>
        <w:t>События после отчетной даты</w:t>
      </w:r>
      <w:r w:rsidRPr="00075914">
        <w:rPr>
          <w:rFonts w:ascii="Times New Roman" w:hAnsi="Times New Roman" w:cs="Times New Roman"/>
        </w:rPr>
        <w:t>», СГС «</w:t>
      </w:r>
      <w:r w:rsidRPr="00075914">
        <w:rPr>
          <w:rFonts w:ascii="Times New Roman" w:hAnsi="Times New Roman" w:cs="Times New Roman"/>
          <w:shd w:val="clear" w:color="auto" w:fill="FFFFFF"/>
        </w:rPr>
        <w:t>Отчет</w:t>
      </w:r>
      <w:proofErr w:type="gramEnd"/>
      <w:r w:rsidRPr="00075914">
        <w:rPr>
          <w:rFonts w:ascii="Times New Roman" w:hAnsi="Times New Roman" w:cs="Times New Roman"/>
          <w:shd w:val="clear" w:color="auto" w:fill="FFFFFF"/>
        </w:rPr>
        <w:t xml:space="preserve"> о движении денежных средств</w:t>
      </w:r>
      <w:r w:rsidRPr="00075914">
        <w:rPr>
          <w:rFonts w:ascii="Times New Roman" w:hAnsi="Times New Roman" w:cs="Times New Roman"/>
        </w:rPr>
        <w:t xml:space="preserve">»), </w:t>
      </w:r>
      <w:r w:rsidRPr="00075914">
        <w:rPr>
          <w:rFonts w:ascii="Times New Roman" w:hAnsi="Times New Roman" w:cs="Times New Roman"/>
          <w:shd w:val="clear" w:color="auto" w:fill="FFFFFF"/>
        </w:rPr>
        <w:t>от 27.02.2018 № 32н (</w:t>
      </w:r>
      <w:r w:rsidRPr="00075914">
        <w:rPr>
          <w:rFonts w:ascii="Times New Roman" w:hAnsi="Times New Roman" w:cs="Times New Roman"/>
        </w:rPr>
        <w:t>далее – СГС «</w:t>
      </w:r>
      <w:r w:rsidRPr="00075914">
        <w:rPr>
          <w:rFonts w:ascii="Times New Roman" w:hAnsi="Times New Roman" w:cs="Times New Roman"/>
          <w:shd w:val="clear" w:color="auto" w:fill="FFFFFF"/>
        </w:rPr>
        <w:t>Доходы</w:t>
      </w:r>
      <w:r w:rsidRPr="00075914">
        <w:rPr>
          <w:rFonts w:ascii="Times New Roman" w:hAnsi="Times New Roman" w:cs="Times New Roman"/>
        </w:rPr>
        <w:t>»</w:t>
      </w:r>
      <w:r w:rsidRPr="00075914">
        <w:rPr>
          <w:rFonts w:ascii="Times New Roman" w:hAnsi="Times New Roman" w:cs="Times New Roman"/>
          <w:shd w:val="clear" w:color="auto" w:fill="FFFFFF"/>
        </w:rPr>
        <w:t>), от 30.05.2018 № 122н (</w:t>
      </w:r>
      <w:r w:rsidRPr="00075914">
        <w:rPr>
          <w:rFonts w:ascii="Times New Roman" w:hAnsi="Times New Roman" w:cs="Times New Roman"/>
        </w:rPr>
        <w:t>далее –</w:t>
      </w:r>
      <w:r w:rsidRPr="00075914">
        <w:rPr>
          <w:rFonts w:ascii="Times New Roman" w:hAnsi="Times New Roman" w:cs="Times New Roman"/>
          <w:shd w:val="clear" w:color="auto" w:fill="FFFFFF"/>
        </w:rPr>
        <w:t xml:space="preserve"> СГС «</w:t>
      </w:r>
      <w:r w:rsidRPr="00075914">
        <w:rPr>
          <w:rFonts w:ascii="Times New Roman" w:hAnsi="Times New Roman" w:cs="Times New Roman"/>
        </w:rPr>
        <w:t>Влияние изменений курсов иностранных валют»).</w:t>
      </w:r>
    </w:p>
    <w:p w:rsidR="000928BA" w:rsidRPr="00075914" w:rsidRDefault="000928BA" w:rsidP="0009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 xml:space="preserve">В части исполнения полномочий получателя бюджетных средств учреждение ведет учет в соответствии с приказом Минфина от 06.12.2010 № 162н </w:t>
      </w:r>
      <w:r w:rsidRPr="00075914">
        <w:rPr>
          <w:rFonts w:ascii="Times New Roman" w:hAnsi="Times New Roman" w:cs="Times New Roman"/>
          <w:i/>
          <w:iCs/>
        </w:rPr>
        <w:t>«Об утверждении плана счетов бюджетного учета и Инструкции по его применению»</w:t>
      </w:r>
      <w:r w:rsidRPr="00075914">
        <w:rPr>
          <w:rFonts w:ascii="Times New Roman" w:hAnsi="Times New Roman" w:cs="Times New Roman"/>
        </w:rPr>
        <w:t xml:space="preserve"> (далее – Инструкция № 162н).</w:t>
      </w:r>
    </w:p>
    <w:p w:rsidR="00296477" w:rsidRPr="0083582E" w:rsidRDefault="00296477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83582E">
        <w:rPr>
          <w:rFonts w:ascii="Times New Roman" w:hAnsi="Times New Roman" w:cs="Times New Roman"/>
          <w:b/>
        </w:rPr>
        <w:t>2. Дополнить п.1 Общие положения</w:t>
      </w:r>
    </w:p>
    <w:p w:rsidR="00296477" w:rsidRPr="00075914" w:rsidRDefault="00296477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</w:t>
      </w:r>
      <w:r w:rsidR="000928BA" w:rsidRPr="00075914">
        <w:rPr>
          <w:rFonts w:ascii="Times New Roman" w:hAnsi="Times New Roman" w:cs="Times New Roman"/>
        </w:rPr>
        <w:t> </w:t>
      </w:r>
      <w:r w:rsidRPr="00075914">
        <w:rPr>
          <w:rFonts w:ascii="Times New Roman" w:hAnsi="Times New Roman" w:cs="Times New Roman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296477" w:rsidRPr="00075914" w:rsidRDefault="00296477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>Основание: пункт 9 СГС «Учетная политика, оценочные значения и ошибки».</w:t>
      </w:r>
    </w:p>
    <w:p w:rsidR="00296477" w:rsidRPr="00075914" w:rsidRDefault="00296477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lastRenderedPageBreak/>
        <w:t> </w:t>
      </w:r>
      <w:r>
        <w:rPr>
          <w:rFonts w:ascii="Times New Roman" w:hAnsi="Times New Roman" w:cs="Times New Roman"/>
        </w:rPr>
        <w:t>1.9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75914">
        <w:rPr>
          <w:rFonts w:ascii="Times New Roman" w:hAnsi="Times New Roman" w:cs="Times New Roman"/>
        </w:rPr>
        <w:t xml:space="preserve"> П</w:t>
      </w:r>
      <w:proofErr w:type="gramEnd"/>
      <w:r w:rsidRPr="00075914">
        <w:rPr>
          <w:rFonts w:ascii="Times New Roman" w:hAnsi="Times New Roman" w:cs="Times New Roman"/>
        </w:rPr>
        <w:t>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296477" w:rsidRDefault="00296477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>Основание: пункты 17, 20, 32 СГС «Учетная политика, оценочные значения и ошибки».</w:t>
      </w:r>
    </w:p>
    <w:p w:rsidR="006735CE" w:rsidRPr="006735CE" w:rsidRDefault="006735CE" w:rsidP="0029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6735CE">
        <w:rPr>
          <w:rFonts w:ascii="Times New Roman" w:hAnsi="Times New Roman" w:cs="Times New Roman"/>
          <w:b/>
        </w:rPr>
        <w:t>3.Дополнить п.3.7</w:t>
      </w:r>
      <w:r w:rsidR="00670E13">
        <w:rPr>
          <w:rFonts w:ascii="Times New Roman" w:hAnsi="Times New Roman" w:cs="Times New Roman"/>
          <w:b/>
        </w:rPr>
        <w:t xml:space="preserve"> Р</w:t>
      </w:r>
      <w:r w:rsidRPr="006735CE">
        <w:rPr>
          <w:rFonts w:ascii="Times New Roman" w:hAnsi="Times New Roman" w:cs="Times New Roman"/>
          <w:b/>
        </w:rPr>
        <w:t xml:space="preserve">асчеты с дебиторами и  кредиторами </w:t>
      </w:r>
    </w:p>
    <w:p w:rsidR="006735CE" w:rsidRPr="00075914" w:rsidRDefault="006735CE" w:rsidP="0067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3.7.3 </w:t>
      </w:r>
      <w:r w:rsidRPr="00075914">
        <w:rPr>
          <w:rFonts w:ascii="Times New Roman" w:hAnsi="Times New Roman" w:cs="Times New Roman"/>
        </w:rPr>
        <w:t>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6735CE" w:rsidRDefault="006735CE" w:rsidP="0067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</w:t>
      </w:r>
    </w:p>
    <w:p w:rsidR="006735CE" w:rsidRPr="00075914" w:rsidRDefault="006735CE" w:rsidP="0067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3.7.4</w:t>
      </w:r>
      <w:r w:rsidRPr="006735CE">
        <w:rPr>
          <w:rFonts w:ascii="Times New Roman" w:hAnsi="Times New Roman" w:cs="Times New Roman"/>
        </w:rPr>
        <w:t xml:space="preserve"> </w:t>
      </w:r>
      <w:r w:rsidRPr="00075914">
        <w:rPr>
          <w:rFonts w:ascii="Times New Roman" w:hAnsi="Times New Roman" w:cs="Times New Roman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  <w:r>
        <w:rPr>
          <w:rFonts w:ascii="Times New Roman" w:hAnsi="Times New Roman" w:cs="Times New Roman"/>
        </w:rPr>
        <w:t xml:space="preserve"> (Приложение 20)</w:t>
      </w:r>
    </w:p>
    <w:p w:rsidR="006735CE" w:rsidRPr="006735CE" w:rsidRDefault="006735CE" w:rsidP="0067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>Основание: пункт 339 Инструкции к Единому плану счетов № 157н, пункт 11 СГС «Доходы».</w:t>
      </w:r>
    </w:p>
    <w:p w:rsidR="000928BA" w:rsidRPr="0083582E" w:rsidRDefault="006735CE" w:rsidP="0009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96477" w:rsidRPr="0083582E">
        <w:rPr>
          <w:rFonts w:ascii="Times New Roman" w:hAnsi="Times New Roman" w:cs="Times New Roman"/>
          <w:b/>
        </w:rPr>
        <w:t>.</w:t>
      </w:r>
      <w:r w:rsidR="0083582E" w:rsidRPr="0083582E">
        <w:rPr>
          <w:rFonts w:ascii="Times New Roman" w:hAnsi="Times New Roman" w:cs="Times New Roman"/>
          <w:b/>
        </w:rPr>
        <w:t>Дополнить п.</w:t>
      </w:r>
      <w:r w:rsidR="0083582E">
        <w:rPr>
          <w:rFonts w:ascii="Times New Roman" w:hAnsi="Times New Roman" w:cs="Times New Roman"/>
          <w:b/>
        </w:rPr>
        <w:t xml:space="preserve"> </w:t>
      </w:r>
      <w:r w:rsidR="0083582E" w:rsidRPr="0083582E">
        <w:rPr>
          <w:rFonts w:ascii="Times New Roman" w:hAnsi="Times New Roman" w:cs="Times New Roman"/>
          <w:b/>
        </w:rPr>
        <w:t xml:space="preserve">3.8 Финансовый результат </w:t>
      </w:r>
    </w:p>
    <w:p w:rsidR="0083582E" w:rsidRPr="00075914" w:rsidRDefault="0083582E" w:rsidP="0083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3.9.2.</w:t>
      </w:r>
      <w:r w:rsidRPr="0083582E">
        <w:rPr>
          <w:rFonts w:ascii="Times New Roman" w:hAnsi="Times New Roman" w:cs="Times New Roman"/>
        </w:rPr>
        <w:t xml:space="preserve"> </w:t>
      </w:r>
      <w:r w:rsidRPr="00075914">
        <w:rPr>
          <w:rFonts w:ascii="Times New Roman" w:hAnsi="Times New Roman" w:cs="Times New Roman"/>
        </w:rPr>
        <w:t>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83582E" w:rsidRDefault="0083582E" w:rsidP="0083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75914">
        <w:rPr>
          <w:rFonts w:ascii="Times New Roman" w:hAnsi="Times New Roman" w:cs="Times New Roman"/>
        </w:rPr>
        <w:t>Основание: пункт 301 Инструкции к Единому плану счетов № 157н, подпункт «а» пункта 55 СГС «Доходы».</w:t>
      </w:r>
    </w:p>
    <w:p w:rsidR="00645929" w:rsidRDefault="006735CE" w:rsidP="00645929">
      <w:pPr>
        <w:spacing w:after="0" w:line="240" w:lineRule="auto"/>
        <w:rPr>
          <w:rFonts w:ascii="Times New Roman" w:hAnsi="Times New Roman"/>
          <w:b/>
        </w:rPr>
      </w:pPr>
      <w:r w:rsidRPr="006735CE">
        <w:rPr>
          <w:rFonts w:ascii="Times New Roman" w:hAnsi="Times New Roman" w:cs="Times New Roman"/>
          <w:b/>
        </w:rPr>
        <w:t xml:space="preserve">5. </w:t>
      </w:r>
      <w:r w:rsidR="00645929">
        <w:rPr>
          <w:rFonts w:ascii="Times New Roman" w:hAnsi="Times New Roman" w:cs="Times New Roman"/>
          <w:b/>
        </w:rPr>
        <w:t>Утвердить в</w:t>
      </w:r>
      <w:r w:rsidR="0057014A">
        <w:rPr>
          <w:rFonts w:ascii="Times New Roman" w:hAnsi="Times New Roman" w:cs="Times New Roman"/>
          <w:b/>
        </w:rPr>
        <w:t xml:space="preserve">вести в действие </w:t>
      </w:r>
      <w:r w:rsidR="00645929">
        <w:rPr>
          <w:rFonts w:ascii="Times New Roman" w:hAnsi="Times New Roman"/>
          <w:b/>
        </w:rPr>
        <w:t xml:space="preserve">Порядок </w:t>
      </w:r>
      <w:r w:rsidR="00645929" w:rsidRPr="00FB76F9">
        <w:rPr>
          <w:rFonts w:ascii="Times New Roman" w:hAnsi="Times New Roman"/>
          <w:b/>
        </w:rPr>
        <w:t>приема-передачи документов бухгалтерского учета при смене руководителя и (или) главного бухгалтера</w:t>
      </w:r>
      <w:r w:rsidR="00645929">
        <w:rPr>
          <w:rFonts w:ascii="Times New Roman" w:hAnsi="Times New Roman"/>
          <w:b/>
        </w:rPr>
        <w:t xml:space="preserve"> (Приложение №1) к данному приказу.</w:t>
      </w:r>
    </w:p>
    <w:p w:rsidR="00645929" w:rsidRDefault="00645929" w:rsidP="00645929">
      <w:pPr>
        <w:spacing w:after="0" w:line="240" w:lineRule="auto"/>
        <w:rPr>
          <w:rFonts w:ascii="Times New Roman" w:hAnsi="Times New Roman"/>
          <w:b/>
        </w:rPr>
      </w:pPr>
    </w:p>
    <w:p w:rsidR="00645929" w:rsidRPr="00645929" w:rsidRDefault="00645929" w:rsidP="00645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6.Утвердить и </w:t>
      </w:r>
      <w:r w:rsidRPr="00645929">
        <w:rPr>
          <w:rFonts w:ascii="Times New Roman" w:hAnsi="Times New Roman"/>
          <w:b/>
        </w:rPr>
        <w:t>ввести</w:t>
      </w:r>
      <w:r w:rsidRPr="00645929">
        <w:rPr>
          <w:rFonts w:ascii="Times New Roman" w:hAnsi="Times New Roman" w:cs="Times New Roman"/>
          <w:b/>
          <w:bCs/>
        </w:rPr>
        <w:t xml:space="preserve"> Порядок признания и отражения в учете и </w:t>
      </w:r>
      <w:r w:rsidRPr="00645929">
        <w:rPr>
          <w:rFonts w:ascii="Times New Roman" w:hAnsi="Times New Roman" w:cs="Times New Roman"/>
          <w:b/>
        </w:rPr>
        <w:t>бухгалтерской</w:t>
      </w:r>
      <w:r w:rsidRPr="00645929">
        <w:rPr>
          <w:rFonts w:ascii="Times New Roman" w:hAnsi="Times New Roman" w:cs="Times New Roman"/>
          <w:b/>
          <w:bCs/>
        </w:rPr>
        <w:t xml:space="preserve"> отчетности </w:t>
      </w:r>
      <w:r w:rsidRPr="00645929">
        <w:rPr>
          <w:rFonts w:ascii="Times New Roman" w:hAnsi="Times New Roman" w:cs="Times New Roman"/>
          <w:b/>
          <w:bCs/>
        </w:rPr>
        <w:br/>
      </w:r>
      <w:r w:rsidRPr="00645929">
        <w:rPr>
          <w:b/>
        </w:rPr>
        <w:t>событий после отчетной даты</w:t>
      </w:r>
      <w:r>
        <w:rPr>
          <w:b/>
        </w:rPr>
        <w:t xml:space="preserve"> (Приложение №2) к данному приказу.</w:t>
      </w:r>
    </w:p>
    <w:p w:rsidR="00AB5A11" w:rsidRPr="00645929" w:rsidRDefault="00E24B76" w:rsidP="0064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70E13">
        <w:rPr>
          <w:b/>
        </w:rPr>
        <w:t>6</w:t>
      </w:r>
      <w:r w:rsidR="00AB5A11" w:rsidRPr="00670E13">
        <w:rPr>
          <w:b/>
        </w:rPr>
        <w:t xml:space="preserve">. Данные </w:t>
      </w:r>
      <w:r w:rsidR="004632D4" w:rsidRPr="00670E13">
        <w:rPr>
          <w:b/>
        </w:rPr>
        <w:t xml:space="preserve">дополнения </w:t>
      </w:r>
      <w:r w:rsidR="00AB5A11" w:rsidRPr="00670E13">
        <w:rPr>
          <w:b/>
        </w:rPr>
        <w:t xml:space="preserve">учитывать с </w:t>
      </w:r>
      <w:r w:rsidRPr="00670E13">
        <w:rPr>
          <w:b/>
        </w:rPr>
        <w:t xml:space="preserve"> </w:t>
      </w:r>
      <w:r w:rsidR="004632D4" w:rsidRPr="00670E13">
        <w:rPr>
          <w:b/>
        </w:rPr>
        <w:t>01</w:t>
      </w:r>
      <w:r w:rsidR="00AB5A11" w:rsidRPr="00670E13">
        <w:rPr>
          <w:b/>
        </w:rPr>
        <w:t xml:space="preserve"> </w:t>
      </w:r>
      <w:r w:rsidRPr="00670E13">
        <w:rPr>
          <w:b/>
        </w:rPr>
        <w:t>января</w:t>
      </w:r>
      <w:r w:rsidR="00AB5A11" w:rsidRPr="00670E13">
        <w:rPr>
          <w:b/>
        </w:rPr>
        <w:t xml:space="preserve"> 201</w:t>
      </w:r>
      <w:r w:rsidRPr="00670E13">
        <w:rPr>
          <w:b/>
        </w:rPr>
        <w:t xml:space="preserve">9 </w:t>
      </w:r>
      <w:r w:rsidR="00AB5A11" w:rsidRPr="00670E13">
        <w:rPr>
          <w:b/>
        </w:rPr>
        <w:t>г.</w:t>
      </w:r>
    </w:p>
    <w:p w:rsidR="00AB5A11" w:rsidRDefault="00AB5A11">
      <w:r>
        <w:t xml:space="preserve"> </w:t>
      </w:r>
      <w:r w:rsidR="00E24B76">
        <w:rPr>
          <w:b/>
        </w:rPr>
        <w:t>7</w:t>
      </w:r>
      <w:r w:rsidR="004632D4">
        <w:t>.</w:t>
      </w:r>
      <w:r w:rsidR="00E24B76">
        <w:t xml:space="preserve"> </w:t>
      </w:r>
      <w:proofErr w:type="gramStart"/>
      <w:r>
        <w:t>Контроль  за</w:t>
      </w:r>
      <w:proofErr w:type="gramEnd"/>
      <w:r>
        <w:t xml:space="preserve"> исполнением  Приказа возложить на главного бухгалтера Г.А.Кузнецову.</w:t>
      </w:r>
    </w:p>
    <w:p w:rsidR="00AB5A11" w:rsidRDefault="00AB5A11"/>
    <w:p w:rsidR="00AB5A11" w:rsidRDefault="00AB5A11">
      <w:r>
        <w:t>Директор-редактор                                                              О.Ю. Платонова</w:t>
      </w:r>
    </w:p>
    <w:p w:rsidR="00750989" w:rsidRDefault="004632D4">
      <w:r>
        <w:t xml:space="preserve">С приказом </w:t>
      </w:r>
      <w:proofErr w:type="gramStart"/>
      <w:r>
        <w:t>ознакомлена</w:t>
      </w:r>
      <w:proofErr w:type="gramEnd"/>
      <w:r w:rsidR="00AB5A11">
        <w:t>:                                                  Г.А.Кузнецова</w:t>
      </w:r>
    </w:p>
    <w:sectPr w:rsidR="00750989" w:rsidSect="004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0D73"/>
    <w:multiLevelType w:val="hybridMultilevel"/>
    <w:tmpl w:val="4C5E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89"/>
    <w:rsid w:val="0003318C"/>
    <w:rsid w:val="000928BA"/>
    <w:rsid w:val="000C47FF"/>
    <w:rsid w:val="00296477"/>
    <w:rsid w:val="002F3A51"/>
    <w:rsid w:val="004324D2"/>
    <w:rsid w:val="004632D4"/>
    <w:rsid w:val="00504BEA"/>
    <w:rsid w:val="0057014A"/>
    <w:rsid w:val="005A3422"/>
    <w:rsid w:val="00645929"/>
    <w:rsid w:val="0065685E"/>
    <w:rsid w:val="00670E13"/>
    <w:rsid w:val="006735CE"/>
    <w:rsid w:val="00750989"/>
    <w:rsid w:val="007E0608"/>
    <w:rsid w:val="007F01ED"/>
    <w:rsid w:val="0083582E"/>
    <w:rsid w:val="00AB5A11"/>
    <w:rsid w:val="00C0424B"/>
    <w:rsid w:val="00C75AFB"/>
    <w:rsid w:val="00D73343"/>
    <w:rsid w:val="00E24B76"/>
    <w:rsid w:val="00E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6735CE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E24B7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2319A-C690-46FF-97D9-ED014465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7</cp:revision>
  <cp:lastPrinted>2019-03-25T10:50:00Z</cp:lastPrinted>
  <dcterms:created xsi:type="dcterms:W3CDTF">2019-03-25T08:08:00Z</dcterms:created>
  <dcterms:modified xsi:type="dcterms:W3CDTF">2019-03-25T10:50:00Z</dcterms:modified>
</cp:coreProperties>
</file>